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Arial" w:hAnsi="Arial"/>
        </w:rPr>
      </w:pPr>
      <w:r>
        <w:rPr>
          <w:rFonts w:cs="Arial" w:ascii="Arial" w:hAnsi="Arial"/>
          <w:b/>
          <w:bCs/>
          <w:color w:val="auto"/>
          <w:sz w:val="28"/>
        </w:rPr>
        <w:t>Ziel:</w:t>
        <w:tab/>
        <w:t>Aussendung – gehe hin – Du bist gesandt!</w:t>
      </w:r>
    </w:p>
    <w:p>
      <w:pPr>
        <w:pStyle w:val="Normal"/>
        <w:spacing w:lineRule="auto" w:line="360" w:before="80" w:after="80"/>
        <w:rPr>
          <w:rFonts w:ascii="Arial" w:hAnsi="Arial" w:cs="Arial"/>
          <w:color w:val="auto"/>
        </w:rPr>
      </w:pPr>
      <w:r>
        <w:rPr>
          <w:rFonts w:cs="Arial" w:ascii="Arial" w:hAnsi="Arial"/>
          <w:color w:val="auto"/>
        </w:rPr>
      </w:r>
    </w:p>
    <w:p>
      <w:pPr>
        <w:pStyle w:val="Aufzhlung"/>
        <w:spacing w:lineRule="auto" w:line="360" w:before="80" w:after="0"/>
        <w:jc w:val="both"/>
        <w:rPr>
          <w:rFonts w:ascii="Arial" w:hAnsi="Arial"/>
        </w:rPr>
      </w:pPr>
      <w:r>
        <w:rPr/>
      </w:r>
    </w:p>
    <w:p>
      <w:pPr>
        <w:pStyle w:val="Normal"/>
        <w:bidi w:val="0"/>
        <w:spacing w:lineRule="auto" w:line="360" w:before="0" w:after="113"/>
        <w:jc w:val="both"/>
        <w:rPr>
          <w:rFonts w:ascii="Arial" w:hAnsi="Arial"/>
        </w:rPr>
      </w:pPr>
      <w:r>
        <w:rPr>
          <w:rFonts w:eastAsia="Times New Roman" w:cs="Times New Roman" w:ascii="Arial" w:hAnsi="Arial"/>
          <w:color w:val="auto"/>
          <w:sz w:val="24"/>
          <w:szCs w:val="24"/>
          <w:lang w:val="de-DE" w:eastAsia="zh-CN" w:bidi="ar-SA"/>
        </w:rPr>
        <w:t>„</w:t>
      </w:r>
      <w:r>
        <w:rPr>
          <w:rFonts w:eastAsia="Times New Roman" w:cs="Times New Roman" w:ascii="Arial" w:hAnsi="Arial"/>
          <w:color w:val="auto"/>
          <w:sz w:val="24"/>
          <w:szCs w:val="24"/>
          <w:lang w:val="de-DE" w:eastAsia="zh-CN" w:bidi="ar-SA"/>
        </w:rPr>
        <w:t xml:space="preserve">Dich sendet Gottes Allmacht aus“, haben wir gerade gesungen. Ein schöner Gedanke, sich singend vorzustellen, wie Gott den Heiligen Geist aussendet, wie er ihn </w:t>
      </w:r>
      <w:r>
        <w:rPr>
          <w:rFonts w:eastAsia="Times New Roman" w:cs="Times New Roman" w:ascii="Arial" w:hAnsi="Arial"/>
          <w:color w:val="auto"/>
          <w:sz w:val="24"/>
          <w:szCs w:val="24"/>
          <w:lang w:val="de-DE" w:eastAsia="zh-CN" w:bidi="ar-SA"/>
        </w:rPr>
        <w:t xml:space="preserve">förmlich </w:t>
      </w:r>
      <w:r>
        <w:rPr>
          <w:rFonts w:eastAsia="Times New Roman" w:cs="Times New Roman" w:ascii="Arial" w:hAnsi="Arial"/>
          <w:color w:val="auto"/>
          <w:sz w:val="24"/>
          <w:szCs w:val="24"/>
          <w:lang w:val="de-DE" w:eastAsia="zh-CN" w:bidi="ar-SA"/>
        </w:rPr>
        <w:t xml:space="preserve">wie einen Boten losschickt, damit er uns mit seinen Gaben beschenkt. Beim Singen fühlt sich das gut an. Aber selber erleben, wie der Geist Gottes zu einem kommt? Das scheint mir schon schwieriger zu sein. </w:t>
      </w:r>
      <w:r>
        <w:rPr>
          <w:rFonts w:eastAsia="Times New Roman" w:cs="Times New Roman" w:ascii="Arial" w:hAnsi="Arial"/>
          <w:color w:val="auto"/>
          <w:sz w:val="24"/>
          <w:szCs w:val="24"/>
          <w:lang w:val="de-DE" w:eastAsia="zh-CN" w:bidi="ar-SA"/>
        </w:rPr>
        <w:t>Vielfalt hin oder her: a</w:t>
      </w:r>
      <w:r>
        <w:rPr>
          <w:rFonts w:eastAsia="Times New Roman" w:cs="Times New Roman" w:ascii="Arial" w:hAnsi="Arial"/>
          <w:color w:val="auto"/>
          <w:sz w:val="24"/>
          <w:szCs w:val="24"/>
          <w:lang w:val="de-DE" w:eastAsia="zh-CN" w:bidi="ar-SA"/>
        </w:rPr>
        <w:t>ndere haben das bestimmt schon erlebt, aber ich doch noch nicht!</w:t>
      </w:r>
    </w:p>
    <w:p>
      <w:pPr>
        <w:pStyle w:val="Normal"/>
        <w:bidi w:val="0"/>
        <w:spacing w:lineRule="auto" w:line="360" w:before="113" w:after="113"/>
        <w:jc w:val="both"/>
        <w:rPr>
          <w:rFonts w:ascii="Arial" w:hAnsi="Arial"/>
        </w:rPr>
      </w:pPr>
      <w:r>
        <w:rPr>
          <w:rFonts w:eastAsia="Times New Roman" w:cs="Times New Roman" w:ascii="Arial" w:hAnsi="Arial"/>
          <w:color w:val="auto"/>
          <w:sz w:val="24"/>
          <w:szCs w:val="24"/>
          <w:lang w:val="de-DE" w:eastAsia="zh-CN" w:bidi="ar-SA"/>
        </w:rPr>
        <w:t>Sind Sie sich sicher, wenn Sie mir gerade innerlich zugestimmt haben? Könnte es sein, dass vielleicht doch schon was war, ganz gleich ob evangelisch oder katholisch? Taufe, Konfirmation, Firmung, die verschiedensten Gottesdienste – das wären immer wieder gute Gelegenheiten…   ...und dann gibt es da auch noch diese ganz besonderen Momente, die wir im Grunde alle kennen und mit denen man oft so ganz und gar nicht rechnet:</w:t>
      </w:r>
    </w:p>
    <w:p>
      <w:pPr>
        <w:pStyle w:val="Normal"/>
        <w:bidi w:val="0"/>
        <w:spacing w:lineRule="auto" w:line="360" w:before="113" w:after="113"/>
        <w:jc w:val="both"/>
        <w:rPr>
          <w:rFonts w:ascii="Arial" w:hAnsi="Arial"/>
        </w:rPr>
      </w:pPr>
      <w:r>
        <w:rPr>
          <w:rFonts w:eastAsia="Times New Roman" w:cs="Times New Roman" w:ascii="Arial" w:hAnsi="Arial"/>
          <w:color w:val="auto"/>
          <w:sz w:val="24"/>
          <w:szCs w:val="24"/>
          <w:lang w:val="de-DE" w:eastAsia="zh-CN" w:bidi="ar-SA"/>
        </w:rPr>
        <w:t xml:space="preserve">Eine schwierige Situation, eine schwere Entscheidung, eine Krise und </w:t>
      </w:r>
      <w:r>
        <w:rPr>
          <w:rFonts w:eastAsia="Times New Roman" w:cs="Times New Roman" w:ascii="Arial" w:hAnsi="Arial"/>
          <w:color w:val="auto"/>
          <w:sz w:val="24"/>
          <w:szCs w:val="24"/>
          <w:lang w:val="de-DE" w:eastAsia="zh-CN" w:bidi="ar-SA"/>
        </w:rPr>
        <w:t xml:space="preserve">dann </w:t>
      </w:r>
      <w:r>
        <w:rPr>
          <w:rFonts w:eastAsia="Times New Roman" w:cs="Times New Roman" w:ascii="Arial" w:hAnsi="Arial"/>
          <w:color w:val="auto"/>
          <w:sz w:val="24"/>
          <w:szCs w:val="24"/>
          <w:lang w:val="de-DE" w:eastAsia="zh-CN" w:bidi="ar-SA"/>
        </w:rPr>
        <w:t>ist einem plötzlich sonnenklar, was zu tun ist und wie es weitergehen wird. Im Rückblick ist dann die Verwunderung ebenso groß wie die Freude, wie gut alles ausgegangen ist.</w:t>
      </w:r>
    </w:p>
    <w:p>
      <w:pPr>
        <w:pStyle w:val="Normal"/>
        <w:bidi w:val="0"/>
        <w:spacing w:lineRule="auto" w:line="360" w:before="113" w:after="113"/>
        <w:jc w:val="both"/>
        <w:rPr>
          <w:rFonts w:ascii="Arial" w:hAnsi="Arial"/>
        </w:rPr>
      </w:pPr>
      <w:r>
        <w:rPr>
          <w:rFonts w:eastAsia="Times New Roman" w:cs="Times New Roman" w:ascii="Arial" w:hAnsi="Arial"/>
          <w:color w:val="auto"/>
          <w:sz w:val="24"/>
          <w:szCs w:val="24"/>
          <w:lang w:val="de-DE" w:eastAsia="zh-CN" w:bidi="ar-SA"/>
        </w:rPr>
        <w:t>„</w:t>
      </w:r>
      <w:r>
        <w:rPr>
          <w:rFonts w:eastAsia="Times New Roman" w:cs="Times New Roman" w:ascii="Arial" w:hAnsi="Arial"/>
          <w:color w:val="auto"/>
          <w:sz w:val="24"/>
          <w:szCs w:val="24"/>
          <w:lang w:val="de-DE" w:eastAsia="zh-CN" w:bidi="ar-SA"/>
        </w:rPr>
        <w:t>Dich sendet Gottes Allmacht aus“! Wie, wenn damit nicht nur der Heilige Geist gemeint ist, sondern ganz unabhängig von der Konfession   –   Du und ich? Was, wenn dieser uralte Hymnus nicht nur für ein frommes Gefühl im Gottesdienst sorgen will, sondern daran erinnert, wie Gott auch uns, wie er Dich und mich aussenden möchte?</w:t>
      </w:r>
    </w:p>
    <w:p>
      <w:pPr>
        <w:pStyle w:val="Normal"/>
        <w:bidi w:val="0"/>
        <w:spacing w:lineRule="auto" w:line="360" w:before="113" w:after="113"/>
        <w:jc w:val="both"/>
        <w:rPr>
          <w:rFonts w:ascii="Arial" w:hAnsi="Arial"/>
        </w:rPr>
      </w:pPr>
      <w:r>
        <w:rPr>
          <w:rFonts w:eastAsia="Times New Roman" w:cs="Times New Roman" w:ascii="Arial" w:hAnsi="Arial"/>
          <w:color w:val="auto"/>
          <w:sz w:val="24"/>
          <w:szCs w:val="24"/>
          <w:lang w:val="de-DE" w:eastAsia="zh-CN" w:bidi="ar-SA"/>
        </w:rPr>
        <w:t xml:space="preserve">Evangelische wie katholische Gottesdienste enden seit je her mit dem Entlassungsruf „Geht hin in Frieden“, in lateinischer Sprache: „Ite missa est“. </w:t>
      </w:r>
      <w:r>
        <w:rPr>
          <w:rFonts w:eastAsia="Times New Roman" w:cs="Times New Roman" w:ascii="Arial" w:hAnsi="Arial"/>
          <w:color w:val="auto"/>
          <w:sz w:val="24"/>
          <w:szCs w:val="24"/>
          <w:lang w:val="de-DE" w:eastAsia="zh-CN" w:bidi="ar-SA"/>
        </w:rPr>
        <w:t>Ursprünglich gedacht als: „Die Kirche ist aus, jetzt könnt Ihr nach Hause gehen“, wandelte sich das Verständnis hin zu:</w:t>
      </w:r>
      <w:r>
        <w:rPr>
          <w:rFonts w:eastAsia="Times New Roman" w:cs="Times New Roman" w:ascii="Arial" w:hAnsi="Arial"/>
          <w:color w:val="auto"/>
          <w:sz w:val="24"/>
          <w:szCs w:val="24"/>
          <w:lang w:val="de-DE" w:eastAsia="zh-CN" w:bidi="ar-SA"/>
        </w:rPr>
        <w:t xml:space="preserve"> „Geht, Ihr seid gesandt!“. Mit diesen Worten werden wir auch heute den Weg geschickt. Ein Gottesdienst endet ja gerade nicht an der Kirchentür! Er soll im Alltag weitergehen, sozusagen als „Gottesdienst im Leben“.</w:t>
      </w:r>
    </w:p>
    <w:p>
      <w:pPr>
        <w:pStyle w:val="Normal"/>
        <w:bidi w:val="0"/>
        <w:spacing w:lineRule="auto" w:line="360" w:before="0" w:after="113"/>
        <w:jc w:val="both"/>
        <w:rPr>
          <w:rFonts w:ascii="Arial" w:hAnsi="Arial"/>
        </w:rPr>
      </w:pPr>
      <w:r>
        <w:rPr>
          <w:rFonts w:eastAsia="Times New Roman" w:cs="Times New Roman" w:ascii="Arial" w:hAnsi="Arial"/>
          <w:color w:val="auto"/>
          <w:sz w:val="24"/>
          <w:szCs w:val="24"/>
          <w:lang w:val="de-DE" w:eastAsia="zh-CN" w:bidi="ar-SA"/>
        </w:rPr>
        <w:t>Dazu sendet Dich Gottes Allmacht aus! Nicht nur den Heiligen Geist,…   ...sondern Dich und mich und das ganz unabhängig von der Konfession. Ist der Herr etwa nur katholisch? Versteht er etwa nur evangelisches Beten? Hört er etwa nur auf freikirchliche Menschen oder ausschließlich auf orthodoxe Christen?</w:t>
      </w:r>
    </w:p>
    <w:p>
      <w:pPr>
        <w:pStyle w:val="Normal"/>
        <w:bidi w:val="0"/>
        <w:spacing w:lineRule="auto" w:line="360" w:before="0" w:after="113"/>
        <w:jc w:val="both"/>
        <w:rPr>
          <w:rFonts w:ascii="Arial" w:hAnsi="Arial"/>
        </w:rPr>
      </w:pPr>
      <w:r>
        <w:rPr>
          <w:rFonts w:eastAsia="Times New Roman" w:cs="Times New Roman" w:ascii="Arial" w:hAnsi="Arial"/>
          <w:color w:val="auto"/>
          <w:sz w:val="24"/>
          <w:szCs w:val="24"/>
          <w:lang w:val="de-DE" w:eastAsia="zh-CN" w:bidi="ar-SA"/>
        </w:rPr>
        <w:t xml:space="preserve">Er ist und bleibt der </w:t>
      </w:r>
      <w:r>
        <w:rPr>
          <w:rFonts w:eastAsia="Times New Roman" w:cs="Times New Roman" w:ascii="Arial" w:hAnsi="Arial"/>
          <w:color w:val="auto"/>
          <w:sz w:val="24"/>
          <w:szCs w:val="24"/>
          <w:u w:val="single"/>
          <w:lang w:val="de-DE" w:eastAsia="zh-CN" w:bidi="ar-SA"/>
        </w:rPr>
        <w:t>eine</w:t>
      </w:r>
      <w:r>
        <w:rPr>
          <w:rFonts w:eastAsia="Times New Roman" w:cs="Times New Roman" w:ascii="Arial" w:hAnsi="Arial"/>
          <w:color w:val="auto"/>
          <w:sz w:val="24"/>
          <w:szCs w:val="24"/>
          <w:lang w:val="de-DE" w:eastAsia="zh-CN" w:bidi="ar-SA"/>
        </w:rPr>
        <w:t xml:space="preserve"> Herr, der uns im Wort der Schrift, beim gemeinsamen Beten und Singen und der uns in Brot und Wein nahe ist. Wir müssten es ihm halt erlauben, uns wie damals den Jüngern in Jerusalem, den manchmal halt doch recht stummen Mund zu öffnen, uns Sinne und Gemüt zu entflammen, damit Liebe unser Herz durchglüht und wir gerade nicht so miteinander umgehen, wie es im Sketch herauszuhören war...</w:t>
      </w:r>
    </w:p>
    <w:p>
      <w:pPr>
        <w:pStyle w:val="Normal"/>
        <w:bidi w:val="0"/>
        <w:spacing w:lineRule="auto" w:line="360" w:before="0" w:after="113"/>
        <w:jc w:val="both"/>
        <w:rPr>
          <w:rFonts w:ascii="Arial" w:hAnsi="Arial"/>
        </w:rPr>
      </w:pPr>
      <w:r>
        <w:rPr>
          <w:rFonts w:eastAsia="Times New Roman" w:cs="Times New Roman" w:ascii="Arial" w:hAnsi="Arial"/>
          <w:color w:val="auto"/>
          <w:sz w:val="24"/>
          <w:szCs w:val="24"/>
          <w:lang w:val="de-DE" w:eastAsia="zh-CN" w:bidi="ar-SA"/>
        </w:rPr>
        <w:t xml:space="preserve">… </w:t>
      </w:r>
      <w:r>
        <w:rPr>
          <w:rFonts w:eastAsia="Times New Roman" w:cs="Times New Roman" w:ascii="Arial" w:hAnsi="Arial"/>
          <w:color w:val="auto"/>
          <w:sz w:val="24"/>
          <w:szCs w:val="24"/>
          <w:lang w:val="de-DE" w:eastAsia="zh-CN" w:bidi="ar-SA"/>
        </w:rPr>
        <w:t xml:space="preserve">und das wird man uns dann frei nach Friedrich Nietsche auch ansehen können – dieses „erlöst-sein“, unsere Nähe zum Herrn. </w:t>
      </w:r>
      <w:r>
        <w:rPr>
          <w:rFonts w:eastAsia="Times New Roman" w:cs="Times New Roman" w:ascii="Arial" w:hAnsi="Arial"/>
          <w:color w:val="auto"/>
          <w:sz w:val="24"/>
          <w:szCs w:val="24"/>
          <w:lang w:val="de-DE" w:eastAsia="zh-CN" w:bidi="ar-SA"/>
        </w:rPr>
        <w:t xml:space="preserve">Erinnern wir uns an die strahlenden Gesichter der Bayernfans am letzten Samstag oder gestern an die der Fans von Heidenheim. Denen hat man es angesehen, wie sie sich für ihre Vereine gefreut haben und so eine Freude sollte auch bei uns </w:t>
      </w:r>
      <w:r>
        <w:rPr>
          <w:rFonts w:eastAsia="Times New Roman" w:cs="Times New Roman" w:ascii="Arial" w:hAnsi="Arial"/>
          <w:color w:val="auto"/>
          <w:sz w:val="24"/>
          <w:szCs w:val="24"/>
          <w:lang w:val="de-DE" w:eastAsia="zh-CN" w:bidi="ar-SA"/>
        </w:rPr>
        <w:t xml:space="preserve">zu spüren sein. </w:t>
      </w:r>
      <w:r>
        <w:rPr>
          <w:rFonts w:eastAsia="Times New Roman" w:cs="Times New Roman" w:ascii="Arial" w:hAnsi="Arial"/>
          <w:color w:val="auto"/>
          <w:sz w:val="24"/>
          <w:szCs w:val="24"/>
          <w:lang w:val="de-DE" w:eastAsia="zh-CN" w:bidi="ar-SA"/>
        </w:rPr>
        <w:t xml:space="preserve">Die anderen müssen es merken, </w:t>
      </w:r>
      <w:r>
        <w:rPr>
          <w:rFonts w:eastAsia="Times New Roman" w:cs="Times New Roman" w:ascii="Arial" w:hAnsi="Arial"/>
          <w:color w:val="auto"/>
          <w:sz w:val="24"/>
          <w:szCs w:val="24"/>
          <w:lang w:val="de-DE" w:eastAsia="zh-CN" w:bidi="ar-SA"/>
        </w:rPr>
        <w:t>dass es da etwas gibt, was uns trägt, was und Kraft und Mut gibt, um als Christen im Leben unseren Mann und unsere Frau zu stehen. Darum geht es jedes mal, wenn es am Ende eines Gottesdienstes heißt:</w:t>
      </w:r>
    </w:p>
    <w:p>
      <w:pPr>
        <w:pStyle w:val="Normal"/>
        <w:bidi w:val="0"/>
        <w:spacing w:lineRule="auto" w:line="360" w:before="113" w:after="113"/>
        <w:jc w:val="both"/>
        <w:rPr>
          <w:rFonts w:ascii="Arial" w:hAnsi="Arial"/>
        </w:rPr>
      </w:pPr>
      <w:r>
        <w:rPr>
          <w:rFonts w:ascii="Arial" w:hAnsi="Arial"/>
          <w:color w:val="auto"/>
        </w:rPr>
        <w:t>Geht hin in Frieden! Auch Dich sendet Gottes Allmacht aus!</w:t>
      </w:r>
    </w:p>
    <w:p>
      <w:pPr>
        <w:pStyle w:val="Normal"/>
        <w:bidi w:val="0"/>
        <w:spacing w:lineRule="auto" w:line="360" w:before="0" w:after="113"/>
        <w:jc w:val="both"/>
        <w:rPr>
          <w:rFonts w:ascii="Arial" w:hAnsi="Arial"/>
        </w:rPr>
      </w:pPr>
      <w:r>
        <w:rPr/>
      </w:r>
    </w:p>
    <w:sectPr>
      <w:headerReference w:type="default" r:id="rId2"/>
      <w:footerReference w:type="default" r:id="rId3"/>
      <w:type w:val="nextPage"/>
      <w:pgSz w:w="11906" w:h="16838"/>
      <w:pgMar w:left="1134" w:right="849" w:gutter="0" w:header="708" w:top="1273"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jc w:val="end"/>
      <w:rPr>
        <w:rFonts w:ascii="Arial" w:hAnsi="Arial"/>
      </w:rPr>
    </w:pPr>
    <w:r>
      <w:rPr>
        <w:rFonts w:ascii="Arial" w:hAnsi="Arial"/>
        <w:sz w:val="16"/>
      </w:rPr>
      <w:t xml:space="preserve">Seite </w:t>
    </w:r>
    <w:r>
      <w:rPr>
        <w:rFonts w:ascii="Arial" w:hAnsi="Arial"/>
        <w:sz w:val="16"/>
      </w:rPr>
      <w:fldChar w:fldCharType="begin"/>
    </w:r>
    <w:r>
      <w:rPr>
        <w:sz w:val="16"/>
        <w:rFonts w:ascii="Arial" w:hAnsi="Arial"/>
      </w:rPr>
      <w:instrText xml:space="preserve"> PAGE </w:instrText>
    </w:r>
    <w:r>
      <w:rPr>
        <w:sz w:val="16"/>
        <w:rFonts w:ascii="Arial" w:hAnsi="Arial"/>
      </w:rPr>
      <w:fldChar w:fldCharType="separate"/>
    </w:r>
    <w:r>
      <w:rPr>
        <w:sz w:val="16"/>
        <w:rFonts w:ascii="Arial" w:hAnsi="Arial"/>
      </w:rPr>
      <w:t>2</w:t>
    </w:r>
    <w:r>
      <w:rPr>
        <w:sz w:val="16"/>
        <w:rFonts w:ascii="Arial" w:hAnsi="Arial"/>
      </w:rPr>
      <w:fldChar w:fldCharType="end"/>
    </w:r>
    <w:r>
      <w:rPr>
        <w:rFonts w:ascii="Arial" w:hAnsi="Arial"/>
        <w:sz w:val="16"/>
      </w:rPr>
      <w:t xml:space="preserve"> von </w:t>
    </w:r>
    <w:r>
      <w:rPr>
        <w:rFonts w:ascii="Arial" w:hAnsi="Arial"/>
        <w:sz w:val="16"/>
      </w:rPr>
      <w:fldChar w:fldCharType="begin"/>
    </w:r>
    <w:r>
      <w:rPr>
        <w:sz w:val="16"/>
        <w:rFonts w:ascii="Arial" w:hAnsi="Arial"/>
      </w:rPr>
      <w:instrText xml:space="preserve"> NUMPAGES \* ARABIC </w:instrText>
    </w:r>
    <w:r>
      <w:rPr>
        <w:sz w:val="16"/>
        <w:rFonts w:ascii="Arial" w:hAnsi="Arial"/>
      </w:rPr>
      <w:fldChar w:fldCharType="separate"/>
    </w:r>
    <w:r>
      <w:rPr>
        <w:sz w:val="16"/>
        <w:rFonts w:ascii="Arial" w:hAnsi="Arial"/>
      </w:rPr>
      <w:t>2</w:t>
    </w:r>
    <w:r>
      <w:rPr>
        <w:sz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4536"/>
        <w:tab w:val="clear" w:pos="9072"/>
        <w:tab w:val="right" w:pos="7537" w:leader="none"/>
        <w:tab w:val="left" w:pos="8106" w:leader="none"/>
        <w:tab w:val="right" w:pos="15703" w:leader="none"/>
      </w:tabs>
      <w:rPr>
        <w:rFonts w:ascii="Arial" w:hAnsi="Arial"/>
      </w:rPr>
    </w:pPr>
    <w:r>
      <w:rPr>
        <w:rFonts w:cs="Arial" w:ascii="Arial" w:hAnsi="Arial"/>
        <w:sz w:val="16"/>
      </w:rPr>
      <w:t>Predigt – Teil 2 – zum ökumenischen Gottesdienst am Pfingstmontag, 29.05.2023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pStyle w:val="Berschrift2"/>
      <w:numFmt w:val="none"/>
      <w:suff w:val="nothing"/>
      <w:lvlText w:val="%2"/>
      <w:lvlJc w:val="start"/>
      <w:pPr>
        <w:tabs>
          <w:tab w:val="num" w:pos="0"/>
        </w:tabs>
        <w:ind w:start="576" w:hanging="576"/>
      </w:pPr>
      <w:r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num w:numId="1">
    <w:abstractNumId w:val="1"/>
  </w:num>
  <w:num w:numId="2">
    <w:abstractNumId w:val="2"/>
  </w:num>
</w:numbering>
</file>

<file path=word/settings.xml><?xml version="1.0" encoding="utf-8"?>
<w:settings xmlns:w="http://schemas.openxmlformats.org/wordprocessingml/2006/main">
  <w:zoom w:val="bestFit" w:percent="224"/>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start"/>
    </w:pPr>
    <w:rPr>
      <w:rFonts w:ascii="Times New Roman" w:hAnsi="Times New Roman" w:eastAsia="Times New Roman" w:cs="Times New Roman"/>
      <w:color w:val="auto"/>
      <w:sz w:val="24"/>
      <w:szCs w:val="24"/>
      <w:lang w:val="de-DE" w:eastAsia="zh-CN" w:bidi="ar-SA"/>
    </w:rPr>
  </w:style>
  <w:style w:type="paragraph" w:styleId="Berschrift2">
    <w:name w:val="Heading 2"/>
    <w:basedOn w:val="Berschrift"/>
    <w:next w:val="Textkrper"/>
    <w:qFormat/>
    <w:pPr>
      <w:numPr>
        <w:ilvl w:val="1"/>
        <w:numId w:val="1"/>
      </w:numPr>
      <w:spacing w:before="200" w:after="120"/>
      <w:outlineLvl w:val="1"/>
    </w:pPr>
    <w:rPr>
      <w:b/>
      <w:bCs/>
      <w:sz w:val="32"/>
      <w:szCs w:val="32"/>
    </w:rPr>
  </w:style>
  <w:style w:type="paragraph" w:styleId="Berschrift3">
    <w:name w:val="Heading 3"/>
    <w:basedOn w:val="Berschrift"/>
    <w:next w:val="Textkrper"/>
    <w:qFormat/>
    <w:pPr>
      <w:numPr>
        <w:ilvl w:val="0"/>
        <w:numId w:val="2"/>
      </w:numPr>
      <w:ind w:start="0" w:end="0" w:hanging="0"/>
      <w:outlineLvl w:val="2"/>
    </w:pPr>
    <w:rPr>
      <w:rFonts w:ascii="Times New Roman" w:hAnsi="Times New Roman" w:eastAsia="Arial Unicode MS" w:cs="Tahoma"/>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DefaultParagraphFont">
    <w:name w:val="Default Paragraph Font"/>
    <w:qFormat/>
    <w:rPr/>
  </w:style>
  <w:style w:type="character" w:styleId="Magazinetext1">
    <w:name w:val="magazinetext1"/>
    <w:basedOn w:val="DefaultParagraphFont"/>
    <w:qFormat/>
    <w:rPr>
      <w:rFonts w:ascii="Arial" w:hAnsi="Arial" w:eastAsia="Arial" w:cs="Arial"/>
      <w:color w:val="000000"/>
      <w:sz w:val="14"/>
      <w:szCs w:val="14"/>
    </w:rPr>
  </w:style>
  <w:style w:type="character" w:styleId="Betont">
    <w:name w:val="Emphasis"/>
    <w:qFormat/>
    <w:rPr>
      <w:i/>
      <w:iCs/>
    </w:rPr>
  </w:style>
  <w:style w:type="character" w:styleId="Funotenzeichen">
    <w:name w:val="Fußnotenzeichen"/>
    <w:qFormat/>
    <w:rPr/>
  </w:style>
  <w:style w:type="character" w:styleId="WW-Funotenzeichen">
    <w:name w:val="WW-Fußnotenzeichen"/>
    <w:qFormat/>
    <w:rPr>
      <w:vertAlign w:val="superscript"/>
    </w:rPr>
  </w:style>
  <w:style w:type="character" w:styleId="Endnotenzeichen">
    <w:name w:val="Endnotenzeichen"/>
    <w:qFormat/>
    <w:rPr>
      <w:vertAlign w:val="superscript"/>
    </w:rPr>
  </w:style>
  <w:style w:type="character" w:styleId="WW-Endnotenzeichen">
    <w:name w:val="WW-Endnotenzeichen"/>
    <w:qFormat/>
    <w:rPr/>
  </w:style>
  <w:style w:type="character" w:styleId="WW-Endnotenzeichen1">
    <w:name w:val="WW-Endnotenzeichen1"/>
    <w:qFormat/>
    <w:rPr>
      <w:vertAlign w:val="superscript"/>
    </w:rPr>
  </w:style>
  <w:style w:type="character" w:styleId="Funotenanker">
    <w:name w:val="Footnote Reference"/>
    <w:rPr>
      <w:vertAlign w:val="superscript"/>
    </w:rPr>
  </w:style>
  <w:style w:type="character" w:styleId="Endnotenanker">
    <w:name w:val="Endnote Reference"/>
    <w:rPr>
      <w:vertAlign w:val="superscript"/>
    </w:rPr>
  </w:style>
  <w:style w:type="paragraph" w:styleId="Berschrift">
    <w:name w:val="Überschrift"/>
    <w:basedOn w:val="Normal"/>
    <w:next w:val="Textkrper"/>
    <w:qFormat/>
    <w:pPr>
      <w:keepNext w:val="true"/>
      <w:spacing w:before="240" w:after="120"/>
    </w:pPr>
    <w:rPr>
      <w:rFonts w:ascii="Arial" w:hAnsi="Arial" w:eastAsia="MS Mincho;‚l‚r –¾’©" w:cs="Tahoma"/>
      <w:sz w:val="28"/>
      <w:szCs w:val="28"/>
    </w:rPr>
  </w:style>
  <w:style w:type="paragraph" w:styleId="Textkrper">
    <w:name w:val="Body Text"/>
    <w:basedOn w:val="Normal"/>
    <w:pPr>
      <w:spacing w:before="0" w:after="120"/>
    </w:pPr>
    <w:rPr/>
  </w:style>
  <w:style w:type="paragraph" w:styleId="Aufzhlung">
    <w:name w:val="List"/>
    <w:basedOn w:val="Textkrper"/>
    <w:pPr/>
    <w:rPr>
      <w:rFonts w:ascii="Arial" w:hAnsi="Arial" w:cs="Tahoma"/>
    </w:rPr>
  </w:style>
  <w:style w:type="paragraph" w:styleId="Beschriftung">
    <w:name w:val="Caption"/>
    <w:basedOn w:val="Normal"/>
    <w:qFormat/>
    <w:pPr>
      <w:suppressLineNumbers/>
      <w:spacing w:before="120" w:after="120"/>
    </w:pPr>
    <w:rPr>
      <w:rFonts w:ascii="Arial" w:hAnsi="Arial" w:cs="Tahoma"/>
      <w:i/>
      <w:iCs/>
      <w:sz w:val="24"/>
      <w:szCs w:val="24"/>
    </w:rPr>
  </w:style>
  <w:style w:type="paragraph" w:styleId="Verzeichnis">
    <w:name w:val="Verzeichnis"/>
    <w:basedOn w:val="Normal"/>
    <w:qFormat/>
    <w:pPr>
      <w:suppressLineNumbers/>
    </w:pPr>
    <w:rPr>
      <w:rFonts w:ascii="Arial" w:hAnsi="Arial" w:cs="Tahoma"/>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pPr>
      <w:tabs>
        <w:tab w:val="clear" w:pos="708"/>
        <w:tab w:val="center" w:pos="4536" w:leader="none"/>
        <w:tab w:val="right" w:pos="9072" w:leader="none"/>
      </w:tabs>
    </w:pPr>
    <w:rPr/>
  </w:style>
  <w:style w:type="paragraph" w:styleId="LO-normal">
    <w:name w:val="LO-normal"/>
    <w:basedOn w:val="Normal"/>
    <w:qFormat/>
    <w:pPr>
      <w:spacing w:before="280" w:after="280"/>
      <w:jc w:val="both"/>
    </w:pPr>
    <w:rPr>
      <w:rFonts w:ascii="Arial" w:hAnsi="Arial" w:cs="Arial"/>
      <w:color w:val="000000"/>
      <w:sz w:val="22"/>
      <w:szCs w:val="22"/>
    </w:rPr>
  </w:style>
  <w:style w:type="paragraph" w:styleId="Funote">
    <w:name w:val="Footnote Text"/>
    <w:basedOn w:val="Normal"/>
    <w:pPr>
      <w:suppressLineNumbers/>
      <w:ind w:start="283" w:end="0" w:hanging="283"/>
    </w:pPr>
    <w:rPr>
      <w:sz w:val="20"/>
      <w:szCs w:val="20"/>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Predigt</Template>
  <TotalTime>9</TotalTime>
  <Application>LibreOffice/7.5.3.2$Windows_X86_64 LibreOffice_project/9f56dff12ba03b9acd7730a5a481eea045e468f3</Application>
  <AppVersion>15.0000</AppVersion>
  <Pages>2</Pages>
  <Words>562</Words>
  <Characters>2893</Characters>
  <CharactersWithSpaces>3458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2023-05-29T17:26:56Z</dcterms:created>
  <dc:creator/>
  <dc:description/>
  <dc:language>de-DE</dc:language>
  <cp:lastModifiedBy/>
  <dcterms:modified xsi:type="dcterms:W3CDTF">2023-05-29T17:36:51Z</dcterms:modified>
  <cp:revision>3</cp:revision>
  <dc:subject/>
  <dc:title>Predigt</dc:title>
</cp:coreProperties>
</file>